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0A1" w:rsidRDefault="005420A1" w:rsidP="005420A1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United States Bankruptcy Court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5420A1" w:rsidRDefault="005420A1" w:rsidP="005420A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for the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5420A1" w:rsidRDefault="005420A1" w:rsidP="005420A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 xml:space="preserve"> Southern District of New York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5420A1" w:rsidRDefault="005420A1" w:rsidP="005420A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______________________________________________________________________________ </w:t>
      </w:r>
    </w:p>
    <w:p w:rsidR="005420A1" w:rsidRDefault="005420A1" w:rsidP="005420A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NOTICE TO THE BAR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5420A1" w:rsidRDefault="009D78FE" w:rsidP="005420A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August 1</w:t>
      </w:r>
      <w:r w:rsidR="005420A1">
        <w:rPr>
          <w:rFonts w:ascii="Tms Rmn" w:hAnsi="Tms Rmn" w:cs="Tms Rmn"/>
          <w:b/>
          <w:bCs/>
          <w:color w:val="000000"/>
          <w:sz w:val="24"/>
          <w:szCs w:val="24"/>
        </w:rPr>
        <w:t>, 2018</w:t>
      </w:r>
      <w:r w:rsidR="005420A1"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5420A1" w:rsidRDefault="00DE1882" w:rsidP="005420A1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 xml:space="preserve">CM/ECF Outage &amp; </w:t>
      </w:r>
      <w:proofErr w:type="spellStart"/>
      <w:r>
        <w:rPr>
          <w:rFonts w:ascii="Tms Rmn" w:hAnsi="Tms Rmn" w:cs="Tms Rmn"/>
          <w:b/>
          <w:bCs/>
          <w:color w:val="000000"/>
          <w:sz w:val="24"/>
          <w:szCs w:val="24"/>
        </w:rPr>
        <w:t>NextGen</w:t>
      </w:r>
      <w:proofErr w:type="spellEnd"/>
      <w:r>
        <w:rPr>
          <w:rFonts w:ascii="Tms Rmn" w:hAnsi="Tms Rmn" w:cs="Tms Rmn"/>
          <w:b/>
          <w:bCs/>
          <w:color w:val="000000"/>
          <w:sz w:val="24"/>
          <w:szCs w:val="24"/>
        </w:rPr>
        <w:t xml:space="preserve"> CM/ECF</w:t>
      </w:r>
      <w:r w:rsidR="005420A1">
        <w:rPr>
          <w:rFonts w:ascii="Tms Rmn" w:hAnsi="Tms Rmn" w:cs="Tms Rmn"/>
          <w:b/>
          <w:bCs/>
          <w:color w:val="000000"/>
          <w:sz w:val="24"/>
          <w:szCs w:val="24"/>
        </w:rPr>
        <w:t xml:space="preserve"> Implementation</w:t>
      </w:r>
      <w:r w:rsidR="005420A1"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5420A1" w:rsidRDefault="005420A1" w:rsidP="00F6515F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br/>
        <w:t>On October 19, 2018, at 8:30 AM (EST), the Bankruptcy Court for the Southern District o</w:t>
      </w:r>
      <w:r w:rsidR="007200A7">
        <w:rPr>
          <w:rFonts w:ascii="Tms Rmn" w:hAnsi="Tms Rmn" w:cs="Tms Rmn"/>
          <w:color w:val="000000"/>
          <w:sz w:val="24"/>
          <w:szCs w:val="24"/>
        </w:rPr>
        <w:t>f New York will take CM/ECF off</w:t>
      </w:r>
      <w:r>
        <w:rPr>
          <w:rFonts w:ascii="Tms Rmn" w:hAnsi="Tms Rmn" w:cs="Tms Rmn"/>
          <w:color w:val="000000"/>
          <w:sz w:val="24"/>
          <w:szCs w:val="24"/>
        </w:rPr>
        <w:t>l</w:t>
      </w:r>
      <w:r w:rsidR="007200A7">
        <w:rPr>
          <w:rFonts w:ascii="Tms Rmn" w:hAnsi="Tms Rmn" w:cs="Tms Rmn"/>
          <w:color w:val="000000"/>
          <w:sz w:val="24"/>
          <w:szCs w:val="24"/>
        </w:rPr>
        <w:t xml:space="preserve">ine </w:t>
      </w:r>
      <w:proofErr w:type="gramStart"/>
      <w:r w:rsidR="007200A7">
        <w:rPr>
          <w:rFonts w:ascii="Tms Rmn" w:hAnsi="Tms Rmn" w:cs="Tms Rmn"/>
          <w:color w:val="000000"/>
          <w:sz w:val="24"/>
          <w:szCs w:val="24"/>
        </w:rPr>
        <w:t>in order to</w:t>
      </w:r>
      <w:proofErr w:type="gramEnd"/>
      <w:r w:rsidR="007200A7">
        <w:rPr>
          <w:rFonts w:ascii="Tms Rmn" w:hAnsi="Tms Rmn" w:cs="Tms Rmn"/>
          <w:color w:val="000000"/>
          <w:sz w:val="24"/>
          <w:szCs w:val="24"/>
        </w:rPr>
        <w:t xml:space="preserve"> update </w:t>
      </w:r>
      <w:r w:rsidR="00DE1882">
        <w:rPr>
          <w:rFonts w:ascii="Tms Rmn" w:hAnsi="Tms Rmn" w:cs="Tms Rmn"/>
          <w:color w:val="000000"/>
          <w:sz w:val="24"/>
          <w:szCs w:val="24"/>
        </w:rPr>
        <w:t xml:space="preserve">to </w:t>
      </w:r>
      <w:proofErr w:type="spellStart"/>
      <w:r w:rsidR="00DE1882">
        <w:rPr>
          <w:rFonts w:ascii="Tms Rmn" w:hAnsi="Tms Rmn" w:cs="Tms Rmn"/>
          <w:color w:val="000000"/>
          <w:sz w:val="24"/>
          <w:szCs w:val="24"/>
        </w:rPr>
        <w:t>NextGen</w:t>
      </w:r>
      <w:proofErr w:type="spellEnd"/>
      <w:r w:rsidR="00DE1882">
        <w:rPr>
          <w:rFonts w:ascii="Tms Rmn" w:hAnsi="Tms Rmn" w:cs="Tms Rmn"/>
          <w:color w:val="000000"/>
          <w:sz w:val="24"/>
          <w:szCs w:val="24"/>
        </w:rPr>
        <w:t xml:space="preserve"> CM/ECF ("</w:t>
      </w:r>
      <w:proofErr w:type="spellStart"/>
      <w:r w:rsidR="00DE1882">
        <w:rPr>
          <w:rFonts w:ascii="Tms Rmn" w:hAnsi="Tms Rmn" w:cs="Tms Rmn"/>
          <w:color w:val="000000"/>
          <w:sz w:val="24"/>
          <w:szCs w:val="24"/>
        </w:rPr>
        <w:t>NextGen</w:t>
      </w:r>
      <w:proofErr w:type="spellEnd"/>
      <w:r w:rsidR="00DE1882">
        <w:rPr>
          <w:rFonts w:ascii="Tms Rmn" w:hAnsi="Tms Rmn" w:cs="Tms Rmn"/>
          <w:color w:val="000000"/>
          <w:sz w:val="24"/>
          <w:szCs w:val="24"/>
        </w:rPr>
        <w:t>")</w:t>
      </w:r>
      <w:r w:rsidR="00D90084">
        <w:rPr>
          <w:rFonts w:ascii="Tms Rmn" w:hAnsi="Tms Rmn" w:cs="Tms Rmn"/>
          <w:color w:val="000000"/>
          <w:sz w:val="24"/>
          <w:szCs w:val="24"/>
        </w:rPr>
        <w:t>.</w:t>
      </w:r>
      <w:bookmarkStart w:id="0" w:name="_GoBack"/>
      <w:bookmarkEnd w:id="0"/>
      <w:r w:rsidR="00D90084">
        <w:rPr>
          <w:rFonts w:ascii="Tms Rmn" w:hAnsi="Tms Rmn" w:cs="Tms Rmn"/>
          <w:color w:val="000000"/>
          <w:sz w:val="24"/>
          <w:szCs w:val="24"/>
        </w:rPr>
        <w:t xml:space="preserve"> </w:t>
      </w:r>
      <w:r w:rsidR="00905EB0">
        <w:rPr>
          <w:rFonts w:ascii="Tms Rmn" w:hAnsi="Tms Rmn" w:cs="Tms Rmn"/>
          <w:color w:val="000000"/>
          <w:sz w:val="24"/>
          <w:szCs w:val="24"/>
        </w:rPr>
        <w:t xml:space="preserve"> </w:t>
      </w:r>
      <w:r w:rsidR="00D90084">
        <w:rPr>
          <w:rFonts w:ascii="Tms Rmn" w:hAnsi="Tms Rmn" w:cs="Tms Rmn"/>
          <w:color w:val="000000"/>
          <w:sz w:val="24"/>
          <w:szCs w:val="24"/>
        </w:rPr>
        <w:t>As a result, e-</w:t>
      </w:r>
      <w:r>
        <w:rPr>
          <w:rFonts w:ascii="Tms Rmn" w:hAnsi="Tms Rmn" w:cs="Tms Rmn"/>
          <w:color w:val="000000"/>
          <w:sz w:val="24"/>
          <w:szCs w:val="24"/>
        </w:rPr>
        <w:t>filing will be unavailable through October 21, 2018. Par</w:t>
      </w:r>
      <w:r w:rsidR="00D90084">
        <w:rPr>
          <w:rFonts w:ascii="Tms Rmn" w:hAnsi="Tms Rmn" w:cs="Tms Rmn"/>
          <w:color w:val="000000"/>
          <w:sz w:val="24"/>
          <w:szCs w:val="24"/>
        </w:rPr>
        <w:t xml:space="preserve">ties with an October 19, 2018 </w:t>
      </w:r>
      <w:r>
        <w:rPr>
          <w:rFonts w:ascii="Tms Rmn" w:hAnsi="Tms Rmn" w:cs="Tms Rmn"/>
          <w:color w:val="000000"/>
          <w:sz w:val="24"/>
          <w:szCs w:val="24"/>
        </w:rPr>
        <w:t>filing deadline should plan to complete their filing prior to 8:30 AM (EST) that day.</w:t>
      </w:r>
      <w:r w:rsidR="00905EB0"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 xml:space="preserve"> Papers not filed electronically may be filed with the Court by depositing them in the night depository maintained by the District Clerk an</w:t>
      </w:r>
      <w:r w:rsidR="00D90084">
        <w:rPr>
          <w:rFonts w:ascii="Tms Rmn" w:hAnsi="Tms Rmn" w:cs="Tms Rmn"/>
          <w:color w:val="000000"/>
          <w:sz w:val="24"/>
          <w:szCs w:val="24"/>
        </w:rPr>
        <w:t xml:space="preserve">d will be </w:t>
      </w:r>
      <w:r>
        <w:rPr>
          <w:rFonts w:ascii="Tms Rmn" w:hAnsi="Tms Rmn" w:cs="Tms Rmn"/>
          <w:color w:val="000000"/>
          <w:sz w:val="24"/>
          <w:szCs w:val="24"/>
        </w:rPr>
        <w:t xml:space="preserve">deemed filed as of the date and time stamped thereon. </w:t>
      </w:r>
      <w:r w:rsidR="00905EB0"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>Any required fees for such filings must be delivered to the Clerk's Office no later than noon on t</w:t>
      </w:r>
      <w:r w:rsidR="0000367A">
        <w:rPr>
          <w:rFonts w:ascii="Tms Rmn" w:hAnsi="Tms Rmn" w:cs="Tms Rmn"/>
          <w:color w:val="000000"/>
          <w:sz w:val="24"/>
          <w:szCs w:val="24"/>
        </w:rPr>
        <w:t>he next business day. Refer to L</w:t>
      </w:r>
      <w:r>
        <w:rPr>
          <w:rFonts w:ascii="Tms Rmn" w:hAnsi="Tms Rmn" w:cs="Tms Rmn"/>
          <w:color w:val="000000"/>
          <w:sz w:val="24"/>
          <w:szCs w:val="24"/>
        </w:rPr>
        <w:t xml:space="preserve">ocal </w:t>
      </w:r>
      <w:r w:rsidR="0000367A">
        <w:rPr>
          <w:rFonts w:ascii="Tms Rmn" w:hAnsi="Tms Rmn" w:cs="Tms Rmn"/>
          <w:color w:val="000000"/>
          <w:sz w:val="24"/>
          <w:szCs w:val="24"/>
        </w:rPr>
        <w:t>Bankruptcy R</w:t>
      </w:r>
      <w:r w:rsidR="00F65934">
        <w:rPr>
          <w:rFonts w:ascii="Tms Rmn" w:hAnsi="Tms Rmn" w:cs="Tms Rmn"/>
          <w:color w:val="000000"/>
          <w:sz w:val="24"/>
          <w:szCs w:val="24"/>
        </w:rPr>
        <w:t>ule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 w:rsidR="00F65934">
        <w:rPr>
          <w:rFonts w:ascii="Tms Rmn" w:hAnsi="Tms Rmn" w:cs="Tms Rmn"/>
          <w:color w:val="000000"/>
          <w:sz w:val="24"/>
          <w:szCs w:val="24"/>
        </w:rPr>
        <w:t xml:space="preserve">5001-1 for further guidance </w:t>
      </w:r>
      <w:hyperlink r:id="rId5" w:history="1">
        <w:r w:rsidR="00B05A27" w:rsidRPr="00917604">
          <w:rPr>
            <w:rStyle w:val="Hyperlink"/>
            <w:rFonts w:ascii="Tms Rmn" w:hAnsi="Tms Rmn" w:cs="Tms Rmn"/>
            <w:sz w:val="24"/>
            <w:szCs w:val="24"/>
          </w:rPr>
          <w:t>http://www.nysb.uscourts.gov/sites/default/files/LocalRules2017.pdf</w:t>
        </w:r>
      </w:hyperlink>
      <w:r>
        <w:rPr>
          <w:rFonts w:ascii="Tms Rmn" w:hAnsi="Tms Rmn" w:cs="Tms Rmn"/>
          <w:color w:val="000000"/>
          <w:sz w:val="24"/>
          <w:szCs w:val="24"/>
        </w:rPr>
        <w:t>.</w:t>
      </w:r>
      <w:r w:rsidR="00905EB0"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 xml:space="preserve"> We expect the system to be available again for e-filing on Monday, October 22, 2018 at 8:30 AM (EST).</w:t>
      </w:r>
      <w:r>
        <w:rPr>
          <w:rFonts w:ascii="Tms Rmn" w:hAnsi="Tms Rmn" w:cs="Tms Rmn"/>
          <w:color w:val="000000"/>
          <w:sz w:val="24"/>
          <w:szCs w:val="24"/>
        </w:rPr>
        <w:br/>
      </w:r>
      <w:r>
        <w:rPr>
          <w:rFonts w:ascii="Tms Rmn" w:hAnsi="Tms Rmn" w:cs="Tms Rmn"/>
          <w:color w:val="000000"/>
          <w:sz w:val="24"/>
          <w:szCs w:val="24"/>
        </w:rPr>
        <w:br/>
        <w:t xml:space="preserve">The Court's update to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NextGen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will require filers </w:t>
      </w:r>
      <w:r w:rsidR="0000367A">
        <w:rPr>
          <w:rFonts w:ascii="Tms Rmn" w:hAnsi="Tms Rmn" w:cs="Tms Rmn"/>
          <w:color w:val="000000"/>
          <w:sz w:val="24"/>
          <w:szCs w:val="24"/>
        </w:rPr>
        <w:t xml:space="preserve">to </w:t>
      </w:r>
      <w:r>
        <w:rPr>
          <w:rFonts w:ascii="Tms Rmn" w:hAnsi="Tms Rmn" w:cs="Tms Rmn"/>
          <w:color w:val="000000"/>
          <w:sz w:val="24"/>
          <w:szCs w:val="24"/>
        </w:rPr>
        <w:t xml:space="preserve">take steps to update their CM/ECF and PACER accounts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in order to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 xml:space="preserve"> continue to file electronically.</w:t>
      </w:r>
      <w:r w:rsidR="00905EB0"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NextGen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simplifies electronic filing by combining your CM/ECF and PACER accounts into a single Central Sign-On account.  Through the PACER website, filers will use one login and password to electronically file in all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NextGen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courts where they have permission to file.  Filers will no longer need a separate CM/ECF account for each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NextGen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court.  All Federal Courts are expected to eventually adopt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NextGen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.  </w:t>
      </w:r>
      <w:r w:rsidR="0000367A">
        <w:rPr>
          <w:rFonts w:ascii="Tms Rmn" w:hAnsi="Tms Rmn" w:cs="Tms Rmn"/>
          <w:color w:val="000000"/>
          <w:sz w:val="24"/>
          <w:szCs w:val="24"/>
        </w:rPr>
        <w:t>C</w:t>
      </w:r>
      <w:r>
        <w:rPr>
          <w:rFonts w:ascii="Tms Rmn" w:hAnsi="Tms Rmn" w:cs="Tms Rmn"/>
          <w:color w:val="000000"/>
          <w:sz w:val="24"/>
          <w:szCs w:val="24"/>
        </w:rPr>
        <w:t xml:space="preserve">lick </w:t>
      </w:r>
      <w:hyperlink r:id="rId6" w:history="1">
        <w:r w:rsidR="006E0B4F">
          <w:rPr>
            <w:rFonts w:ascii="Tms Rmn" w:hAnsi="Tms Rmn" w:cs="Tms Rmn"/>
            <w:color w:val="0000FF"/>
            <w:sz w:val="24"/>
            <w:szCs w:val="24"/>
            <w:u w:val="single"/>
          </w:rPr>
          <w:t>https://www.pacer.gov/psco/cgi-bin/links.pl</w:t>
        </w:r>
      </w:hyperlink>
      <w:r w:rsidR="0000367A">
        <w:rPr>
          <w:rFonts w:ascii="Tms Rmn" w:hAnsi="Tms Rmn" w:cs="Tms Rmn"/>
          <w:color w:val="000000"/>
          <w:sz w:val="24"/>
          <w:szCs w:val="24"/>
        </w:rPr>
        <w:t xml:space="preserve"> to see a list of current </w:t>
      </w:r>
      <w:proofErr w:type="spellStart"/>
      <w:r w:rsidR="0000367A">
        <w:rPr>
          <w:rFonts w:ascii="Tms Rmn" w:hAnsi="Tms Rmn" w:cs="Tms Rmn"/>
          <w:color w:val="000000"/>
          <w:sz w:val="24"/>
          <w:szCs w:val="24"/>
        </w:rPr>
        <w:t>NextGen</w:t>
      </w:r>
      <w:proofErr w:type="spellEnd"/>
      <w:r w:rsidR="0000367A">
        <w:rPr>
          <w:rFonts w:ascii="Tms Rmn" w:hAnsi="Tms Rmn" w:cs="Tms Rmn"/>
          <w:color w:val="000000"/>
          <w:sz w:val="24"/>
          <w:szCs w:val="24"/>
        </w:rPr>
        <w:t xml:space="preserve"> courts</w:t>
      </w:r>
      <w:r w:rsidR="00F65934">
        <w:rPr>
          <w:rFonts w:ascii="Tms Rmn" w:hAnsi="Tms Rmn" w:cs="Tms Rmn"/>
          <w:color w:val="000000"/>
          <w:sz w:val="24"/>
          <w:szCs w:val="24"/>
        </w:rPr>
        <w:t>.</w:t>
      </w:r>
    </w:p>
    <w:p w:rsidR="005420A1" w:rsidRDefault="005420A1" w:rsidP="005420A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 What should I do next?  </w:t>
      </w:r>
    </w:p>
    <w:p w:rsidR="005420A1" w:rsidRDefault="005420A1" w:rsidP="005420A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  </w:t>
      </w:r>
    </w:p>
    <w:p w:rsidR="005420A1" w:rsidRDefault="005420A1" w:rsidP="00F6515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  <w:u w:val="single"/>
        </w:rPr>
        <w:t>Before</w:t>
      </w:r>
      <w:r>
        <w:rPr>
          <w:rFonts w:ascii="Tms Rmn" w:hAnsi="Tms Rmn" w:cs="Tms Rmn"/>
          <w:color w:val="000000"/>
          <w:sz w:val="24"/>
          <w:szCs w:val="24"/>
        </w:rPr>
        <w:t xml:space="preserve"> October 22, 2018, upgrade your PACER account if you have not already done so</w:t>
      </w:r>
      <w:r w:rsidR="00F65934">
        <w:rPr>
          <w:rFonts w:ascii="Tms Rmn" w:hAnsi="Tms Rmn" w:cs="Tms Rmn"/>
          <w:color w:val="000000"/>
          <w:sz w:val="24"/>
          <w:szCs w:val="24"/>
        </w:rPr>
        <w:t xml:space="preserve"> at </w:t>
      </w:r>
      <w:hyperlink r:id="rId7" w:history="1">
        <w:r w:rsidR="0012292C" w:rsidRPr="00917604">
          <w:rPr>
            <w:rStyle w:val="Hyperlink"/>
            <w:rFonts w:ascii="Tms Rmn" w:hAnsi="Tms Rmn" w:cs="Tms Rmn"/>
            <w:sz w:val="24"/>
            <w:szCs w:val="24"/>
          </w:rPr>
          <w:t>https://www.pacer.gov/nextgen/</w:t>
        </w:r>
      </w:hyperlink>
      <w:r>
        <w:rPr>
          <w:rFonts w:ascii="Tms Rmn" w:hAnsi="Tms Rmn" w:cs="Tms Rmn"/>
          <w:color w:val="000000"/>
          <w:sz w:val="24"/>
          <w:szCs w:val="24"/>
        </w:rPr>
        <w:t>.</w:t>
      </w:r>
      <w:r w:rsidR="00905EB0"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 xml:space="preserve"> Each filer must have his or her own PACER account.  Shared PACER accounts will not work with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NextGen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.  Please note, PACER accounts created after August 11, 2014, are already upgraded accounts. </w:t>
      </w:r>
    </w:p>
    <w:p w:rsidR="005420A1" w:rsidRDefault="005420A1" w:rsidP="005420A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  </w:t>
      </w:r>
    </w:p>
    <w:p w:rsidR="005420A1" w:rsidRDefault="005420A1" w:rsidP="005420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  <w:u w:val="single"/>
        </w:rPr>
        <w:t>Beginning</w:t>
      </w:r>
      <w:r>
        <w:rPr>
          <w:rFonts w:ascii="Tms Rmn" w:hAnsi="Tms Rmn" w:cs="Tms Rmn"/>
          <w:color w:val="000000"/>
          <w:sz w:val="24"/>
          <w:szCs w:val="24"/>
        </w:rPr>
        <w:t xml:space="preserve"> October 22, 2018, after New York Southern converts to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NextGen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, you must link each of your login accounts to your PACER account to electronically file.</w:t>
      </w:r>
    </w:p>
    <w:p w:rsidR="005420A1" w:rsidRDefault="005420A1" w:rsidP="005420A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  </w:t>
      </w:r>
    </w:p>
    <w:p w:rsidR="005420A1" w:rsidRDefault="005420A1" w:rsidP="005420A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lastRenderedPageBreak/>
        <w:t xml:space="preserve">Failure to complete these steps will prevent you from successfully electronically filing after </w:t>
      </w:r>
      <w:proofErr w:type="spellStart"/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>NextGen</w:t>
      </w:r>
      <w:proofErr w:type="spellEnd"/>
      <w:r>
        <w:rPr>
          <w:rFonts w:ascii="Tms Rmn" w:hAnsi="Tms Rmn" w:cs="Tms Rmn"/>
          <w:b/>
          <w:bCs/>
          <w:i/>
          <w:iCs/>
          <w:color w:val="000000"/>
          <w:sz w:val="24"/>
          <w:szCs w:val="24"/>
        </w:rPr>
        <w:t xml:space="preserve"> goes live.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5420A1" w:rsidRPr="0000367A" w:rsidRDefault="005420A1" w:rsidP="0000367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 w:rsidRPr="0000367A">
        <w:rPr>
          <w:rFonts w:ascii="Tms Rmn" w:hAnsi="Tms Rmn" w:cs="Tms Rmn"/>
          <w:color w:val="000000"/>
          <w:sz w:val="24"/>
          <w:szCs w:val="24"/>
        </w:rPr>
        <w:t xml:space="preserve">We look forward to assisting you in this transition to </w:t>
      </w:r>
      <w:proofErr w:type="spellStart"/>
      <w:r w:rsidRPr="0000367A">
        <w:rPr>
          <w:rFonts w:ascii="Tms Rmn" w:hAnsi="Tms Rmn" w:cs="Tms Rmn"/>
          <w:color w:val="000000"/>
          <w:sz w:val="24"/>
          <w:szCs w:val="24"/>
        </w:rPr>
        <w:t>NextGen</w:t>
      </w:r>
      <w:proofErr w:type="spellEnd"/>
      <w:r w:rsidRPr="0000367A">
        <w:rPr>
          <w:rFonts w:ascii="Tms Rmn" w:hAnsi="Tms Rmn" w:cs="Tms Rmn"/>
          <w:color w:val="000000"/>
          <w:sz w:val="24"/>
          <w:szCs w:val="24"/>
        </w:rPr>
        <w:t xml:space="preserve">.  More information is available below. </w:t>
      </w:r>
      <w:r w:rsidRPr="0000367A">
        <w:rPr>
          <w:rFonts w:ascii="Tms Rmn" w:hAnsi="Tms Rmn" w:cs="Tms Rmn"/>
          <w:color w:val="000000"/>
          <w:sz w:val="24"/>
          <w:szCs w:val="24"/>
        </w:rPr>
        <w:br/>
        <w:t xml:space="preserve"> </w:t>
      </w:r>
      <w:r w:rsidRPr="0000367A">
        <w:rPr>
          <w:rFonts w:ascii="Tms Rmn" w:hAnsi="Tms Rmn" w:cs="Tms Rmn"/>
          <w:color w:val="000000"/>
          <w:sz w:val="24"/>
          <w:szCs w:val="24"/>
        </w:rPr>
        <w:br/>
        <w:t xml:space="preserve">                                                         </w:t>
      </w:r>
    </w:p>
    <w:p w:rsidR="005420A1" w:rsidRDefault="005420A1" w:rsidP="005420A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PACER         </w:t>
      </w:r>
      <w:r w:rsidR="0000367A">
        <w:rPr>
          <w:rFonts w:ascii="Tms Rmn" w:hAnsi="Tms Rmn" w:cs="Tms Rmn"/>
          <w:color w:val="000000"/>
          <w:sz w:val="24"/>
          <w:szCs w:val="24"/>
        </w:rPr>
        <w:t xml:space="preserve"> - </w:t>
      </w:r>
      <w:r>
        <w:rPr>
          <w:rFonts w:ascii="Tms Rmn" w:hAnsi="Tms Rmn" w:cs="Tms Rmn"/>
          <w:color w:val="000000"/>
          <w:sz w:val="24"/>
          <w:szCs w:val="24"/>
        </w:rPr>
        <w:t xml:space="preserve">On the web at </w:t>
      </w:r>
      <w:hyperlink r:id="rId8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https://www.pacer.gov/ecfcbt/cso/index.html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5420A1" w:rsidRDefault="005420A1" w:rsidP="005420A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                       </w:t>
      </w:r>
      <w:r w:rsidR="008E51D2">
        <w:rPr>
          <w:rFonts w:ascii="Tms Rmn" w:hAnsi="Tms Rmn" w:cs="Tms Rmn"/>
          <w:color w:val="000000"/>
          <w:sz w:val="24"/>
          <w:szCs w:val="24"/>
        </w:rPr>
        <w:t xml:space="preserve">  </w:t>
      </w:r>
      <w:r>
        <w:rPr>
          <w:rFonts w:ascii="Tms Rmn" w:hAnsi="Tms Rmn" w:cs="Tms Rmn"/>
          <w:color w:val="000000"/>
          <w:sz w:val="24"/>
          <w:szCs w:val="24"/>
        </w:rPr>
        <w:t xml:space="preserve">Email PACER at </w:t>
      </w:r>
      <w:hyperlink r:id="rId9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pacer@psc.uscourts.gov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5420A1" w:rsidRDefault="005420A1" w:rsidP="005420A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                       </w:t>
      </w:r>
      <w:r w:rsidR="008E51D2">
        <w:rPr>
          <w:rFonts w:ascii="Tms Rmn" w:hAnsi="Tms Rmn" w:cs="Tms Rmn"/>
          <w:color w:val="000000"/>
          <w:sz w:val="24"/>
          <w:szCs w:val="24"/>
        </w:rPr>
        <w:t xml:space="preserve">  </w:t>
      </w:r>
      <w:r>
        <w:rPr>
          <w:rFonts w:ascii="Tms Rmn" w:hAnsi="Tms Rmn" w:cs="Tms Rmn"/>
          <w:color w:val="000000"/>
          <w:sz w:val="24"/>
          <w:szCs w:val="24"/>
        </w:rPr>
        <w:t>Call PACER at (800) 676-6856</w:t>
      </w:r>
    </w:p>
    <w:p w:rsidR="005420A1" w:rsidRDefault="005420A1" w:rsidP="005420A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  </w:t>
      </w:r>
    </w:p>
    <w:p w:rsidR="00591431" w:rsidRDefault="005420A1" w:rsidP="005420A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NYSB            </w:t>
      </w:r>
      <w:r w:rsidR="0000367A">
        <w:rPr>
          <w:rFonts w:ascii="Tms Rmn" w:hAnsi="Tms Rmn" w:cs="Tms Rmn"/>
          <w:color w:val="000000"/>
          <w:sz w:val="24"/>
          <w:szCs w:val="24"/>
        </w:rPr>
        <w:t xml:space="preserve">- </w:t>
      </w:r>
      <w:r>
        <w:rPr>
          <w:rFonts w:ascii="Tms Rmn" w:hAnsi="Tms Rmn" w:cs="Tms Rmn"/>
          <w:color w:val="000000"/>
          <w:sz w:val="24"/>
          <w:szCs w:val="24"/>
        </w:rPr>
        <w:t xml:space="preserve">On the web </w:t>
      </w:r>
      <w:r w:rsidR="00591431">
        <w:rPr>
          <w:rFonts w:ascii="Tms Rmn" w:hAnsi="Tms Rmn" w:cs="Tms Rmn"/>
          <w:color w:val="000000"/>
          <w:sz w:val="24"/>
          <w:szCs w:val="24"/>
        </w:rPr>
        <w:t xml:space="preserve">at </w:t>
      </w:r>
      <w:hyperlink r:id="rId10" w:history="1">
        <w:r w:rsidR="00591431" w:rsidRPr="00745312">
          <w:rPr>
            <w:rStyle w:val="Hyperlink"/>
            <w:rFonts w:ascii="Tms Rmn" w:hAnsi="Tms Rmn" w:cs="Tms Rmn"/>
            <w:sz w:val="24"/>
            <w:szCs w:val="24"/>
          </w:rPr>
          <w:t>https://www.nysb.uscourts.gov</w:t>
        </w:r>
      </w:hyperlink>
      <w:r w:rsidR="00591431">
        <w:rPr>
          <w:rFonts w:ascii="Tms Rmn" w:hAnsi="Tms Rmn" w:cs="Tms Rmn"/>
          <w:color w:val="000000"/>
          <w:sz w:val="24"/>
          <w:szCs w:val="24"/>
        </w:rPr>
        <w:t xml:space="preserve"> </w:t>
      </w:r>
    </w:p>
    <w:p w:rsidR="00494179" w:rsidRDefault="005420A1" w:rsidP="005420A1">
      <w:r>
        <w:rPr>
          <w:rFonts w:ascii="Tms Rmn" w:hAnsi="Tms Rmn" w:cs="Tms Rmn"/>
          <w:color w:val="000000"/>
          <w:sz w:val="24"/>
          <w:szCs w:val="24"/>
        </w:rPr>
        <w:t xml:space="preserve">                       </w:t>
      </w:r>
      <w:r w:rsidR="008E51D2">
        <w:rPr>
          <w:rFonts w:ascii="Tms Rmn" w:hAnsi="Tms Rmn" w:cs="Tms Rmn"/>
          <w:color w:val="000000"/>
          <w:sz w:val="24"/>
          <w:szCs w:val="24"/>
        </w:rPr>
        <w:t xml:space="preserve">  </w:t>
      </w:r>
      <w:r>
        <w:rPr>
          <w:rFonts w:ascii="Tms Rmn" w:hAnsi="Tms Rmn" w:cs="Tms Rmn"/>
          <w:color w:val="000000"/>
          <w:sz w:val="24"/>
          <w:szCs w:val="24"/>
        </w:rPr>
        <w:t xml:space="preserve">Email us at </w:t>
      </w:r>
      <w:hyperlink r:id="rId11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>courtservices@nysb.uscourts.gov</w:t>
        </w:r>
      </w:hyperlink>
      <w:r>
        <w:rPr>
          <w:rFonts w:ascii="Tms Rmn" w:hAnsi="Tms Rmn" w:cs="Tms Rmn"/>
          <w:color w:val="000000"/>
          <w:sz w:val="24"/>
          <w:szCs w:val="24"/>
        </w:rPr>
        <w:br/>
        <w:t xml:space="preserve">                       </w:t>
      </w:r>
      <w:r w:rsidR="008E51D2">
        <w:rPr>
          <w:rFonts w:ascii="Tms Rmn" w:hAnsi="Tms Rmn" w:cs="Tms Rmn"/>
          <w:color w:val="000000"/>
          <w:sz w:val="24"/>
          <w:szCs w:val="24"/>
        </w:rPr>
        <w:t xml:space="preserve">  </w:t>
      </w:r>
      <w:r>
        <w:rPr>
          <w:rFonts w:ascii="Tms Rmn" w:hAnsi="Tms Rmn" w:cs="Tms Rmn"/>
          <w:color w:val="000000"/>
          <w:sz w:val="24"/>
          <w:szCs w:val="24"/>
        </w:rPr>
        <w:t>Call Court Services at 212-668-2870, Option 3</w:t>
      </w:r>
    </w:p>
    <w:sectPr w:rsidR="00494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2AE4422"/>
    <w:lvl w:ilvl="0">
      <w:numFmt w:val="bullet"/>
      <w:lvlText w:val="*"/>
      <w:lvlJc w:val="left"/>
    </w:lvl>
  </w:abstractNum>
  <w:abstractNum w:abstractNumId="1" w15:restartNumberingAfterBreak="0">
    <w:nsid w:val="12F201CF"/>
    <w:multiLevelType w:val="hybridMultilevel"/>
    <w:tmpl w:val="9E26B1B0"/>
    <w:lvl w:ilvl="0" w:tplc="623859F6">
      <w:numFmt w:val="bullet"/>
      <w:lvlText w:val="-"/>
      <w:lvlJc w:val="left"/>
      <w:pPr>
        <w:ind w:left="420" w:hanging="360"/>
      </w:pPr>
      <w:rPr>
        <w:rFonts w:ascii="Tms Rmn" w:eastAsiaTheme="minorHAnsi" w:hAnsi="Tms Rmn" w:cs="Tms Rm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A1"/>
    <w:rsid w:val="0000367A"/>
    <w:rsid w:val="0003799B"/>
    <w:rsid w:val="0012292C"/>
    <w:rsid w:val="0030102C"/>
    <w:rsid w:val="00494179"/>
    <w:rsid w:val="005420A1"/>
    <w:rsid w:val="00591431"/>
    <w:rsid w:val="006E0B4F"/>
    <w:rsid w:val="007200A7"/>
    <w:rsid w:val="008E51D2"/>
    <w:rsid w:val="00905EB0"/>
    <w:rsid w:val="0095416A"/>
    <w:rsid w:val="009D78FE"/>
    <w:rsid w:val="00B05A27"/>
    <w:rsid w:val="00C8334B"/>
    <w:rsid w:val="00D90084"/>
    <w:rsid w:val="00DE1882"/>
    <w:rsid w:val="00F6515F"/>
    <w:rsid w:val="00F65934"/>
    <w:rsid w:val="00F8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0E9A1-FC4C-4E6A-BB8D-1B9FCACE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14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43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0367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659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cer.gov/ecfcbt/cso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acer.gov/nextge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cer.gov/psco/cgi-bin/links.pl" TargetMode="External"/><Relationship Id="rId11" Type="http://schemas.openxmlformats.org/officeDocument/2006/relationships/hyperlink" Target="mailto:courtservices@nysb.uscourts.gov" TargetMode="External"/><Relationship Id="rId5" Type="http://schemas.openxmlformats.org/officeDocument/2006/relationships/hyperlink" Target="http://www.nysb.uscourts.gov/sites/default/files/LocalRules2017.pdf" TargetMode="External"/><Relationship Id="rId10" Type="http://schemas.openxmlformats.org/officeDocument/2006/relationships/hyperlink" Target="https://www.nysb.uscourts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cer@psc.uscourt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Porter</dc:creator>
  <cp:keywords/>
  <dc:description/>
  <cp:lastModifiedBy>Autumn Porter</cp:lastModifiedBy>
  <cp:revision>2</cp:revision>
  <dcterms:created xsi:type="dcterms:W3CDTF">2018-08-01T19:37:00Z</dcterms:created>
  <dcterms:modified xsi:type="dcterms:W3CDTF">2018-08-01T19:37:00Z</dcterms:modified>
</cp:coreProperties>
</file>